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EA6D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0B576C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14:paraId="247211BE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0B576C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14:paraId="471F7E10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0B576C">
        <w:rPr>
          <w:rFonts w:ascii="Times New Roman" w:eastAsia="Calibri" w:hAnsi="Times New Roman" w:cs="Times New Roman"/>
          <w:b/>
          <w:sz w:val="28"/>
          <w:lang w:val="uk-UA"/>
        </w:rPr>
        <w:t>ФАКУЛЬТЕТ КОМП</w:t>
      </w:r>
      <w:r w:rsidRPr="000B576C">
        <w:rPr>
          <w:rFonts w:ascii="Times New Roman" w:eastAsia="Calibri" w:hAnsi="Times New Roman" w:cs="Times New Roman"/>
          <w:b/>
          <w:sz w:val="28"/>
          <w:lang w:val="ru-RU"/>
        </w:rPr>
        <w:t>’</w:t>
      </w:r>
      <w:r w:rsidRPr="000B576C">
        <w:rPr>
          <w:rFonts w:ascii="Times New Roman" w:eastAsia="Calibri" w:hAnsi="Times New Roman" w:cs="Times New Roman"/>
          <w:b/>
          <w:sz w:val="28"/>
          <w:lang w:val="uk-UA"/>
        </w:rPr>
        <w:t>ЮТЕРНИХ НАУК, ФІЗИКИ ТА МАТЕМАТИКИ</w:t>
      </w:r>
    </w:p>
    <w:p w14:paraId="1E341610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0B576C">
        <w:rPr>
          <w:rFonts w:ascii="Times New Roman" w:eastAsia="Calibri" w:hAnsi="Times New Roman" w:cs="Times New Roman"/>
          <w:b/>
          <w:sz w:val="28"/>
          <w:lang w:val="uk-UA"/>
        </w:rPr>
        <w:t>КАФЕДРА ФІЗИКИ ТА МЕТОДИКИ ЇЇ НАВЧАННЯ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7"/>
      </w:tblGrid>
      <w:tr w:rsidR="000B576C" w:rsidRPr="000B576C" w14:paraId="590ED02D" w14:textId="77777777" w:rsidTr="00B56783">
        <w:trPr>
          <w:trHeight w:val="1723"/>
        </w:trPr>
        <w:tc>
          <w:tcPr>
            <w:tcW w:w="4839" w:type="dxa"/>
          </w:tcPr>
          <w:p w14:paraId="4F3F2D04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14:paraId="45AEDE0D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14:paraId="60896C44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14:paraId="130B5ADA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06.</w:t>
            </w:r>
            <w:r w:rsidRPr="000B576C"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2021 р. № 1 </w:t>
            </w:r>
          </w:p>
          <w:p w14:paraId="35A9111F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14:paraId="3202A762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</w:t>
            </w:r>
          </w:p>
          <w:p w14:paraId="2ADC1B44" w14:textId="77777777" w:rsidR="000B576C" w:rsidRPr="000B576C" w:rsidRDefault="000B576C" w:rsidP="000B576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Сергій КУЗЬМЕНКОВ</w:t>
            </w:r>
          </w:p>
        </w:tc>
      </w:tr>
    </w:tbl>
    <w:p w14:paraId="28552B56" w14:textId="77777777" w:rsidR="000B576C" w:rsidRPr="000B576C" w:rsidRDefault="000B576C" w:rsidP="000B57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6C45AD" w14:textId="77777777" w:rsidR="000B576C" w:rsidRPr="000B576C" w:rsidRDefault="000B576C" w:rsidP="000B576C">
      <w:pPr>
        <w:jc w:val="center"/>
        <w:rPr>
          <w:rFonts w:ascii="Calibri" w:eastAsia="Calibri" w:hAnsi="Calibri" w:cs="Times New Roman"/>
          <w:lang w:val="uk-UA"/>
        </w:rPr>
      </w:pPr>
    </w:p>
    <w:p w14:paraId="62B9E9F8" w14:textId="77777777" w:rsidR="000B576C" w:rsidRPr="000B576C" w:rsidRDefault="000B576C" w:rsidP="000B576C">
      <w:pPr>
        <w:jc w:val="center"/>
        <w:rPr>
          <w:rFonts w:ascii="Calibri" w:eastAsia="Calibri" w:hAnsi="Calibri" w:cs="Times New Roman"/>
          <w:lang w:val="uk-UA"/>
        </w:rPr>
      </w:pPr>
    </w:p>
    <w:p w14:paraId="1151AD0F" w14:textId="77777777" w:rsidR="000B576C" w:rsidRPr="000B576C" w:rsidRDefault="000B576C" w:rsidP="000B576C">
      <w:pPr>
        <w:jc w:val="center"/>
        <w:rPr>
          <w:rFonts w:ascii="Calibri" w:eastAsia="Calibri" w:hAnsi="Calibri" w:cs="Times New Roman"/>
          <w:lang w:val="uk-UA"/>
        </w:rPr>
      </w:pPr>
    </w:p>
    <w:p w14:paraId="0568C363" w14:textId="77777777" w:rsidR="000B576C" w:rsidRPr="000B576C" w:rsidRDefault="000B576C" w:rsidP="000B576C">
      <w:pPr>
        <w:jc w:val="center"/>
        <w:rPr>
          <w:rFonts w:ascii="Calibri" w:eastAsia="Calibri" w:hAnsi="Calibri" w:cs="Times New Roman"/>
          <w:lang w:val="uk-UA"/>
        </w:rPr>
      </w:pPr>
    </w:p>
    <w:p w14:paraId="1F1C6384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57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1F227B6C" w14:textId="3548A950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МАТЕРІАЛОЗНАВСТВО</w:t>
      </w:r>
    </w:p>
    <w:p w14:paraId="08E5A81E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D6F3E1E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AF0014" w14:textId="77777777" w:rsidR="000B576C" w:rsidRPr="000B576C" w:rsidRDefault="000B576C" w:rsidP="000B576C">
      <w:pPr>
        <w:rPr>
          <w:rFonts w:ascii="Times New Roman" w:eastAsia="Calibri" w:hAnsi="Times New Roman" w:cs="Times New Roman"/>
          <w:spacing w:val="-8"/>
          <w:sz w:val="28"/>
          <w:szCs w:val="28"/>
          <w:u w:val="single"/>
          <w:lang w:val="uk-UA"/>
        </w:rPr>
      </w:pPr>
      <w:r w:rsidRPr="000B576C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Освітня програма </w:t>
      </w:r>
      <w:r w:rsidRPr="000B576C">
        <w:rPr>
          <w:rFonts w:ascii="Times New Roman" w:eastAsia="Calibri" w:hAnsi="Times New Roman" w:cs="Times New Roman"/>
          <w:spacing w:val="-8"/>
          <w:sz w:val="28"/>
          <w:szCs w:val="28"/>
          <w:u w:val="single"/>
          <w:lang w:val="uk-UA"/>
        </w:rPr>
        <w:t xml:space="preserve">Середня освіта (Фізика) </w:t>
      </w:r>
    </w:p>
    <w:p w14:paraId="57A2F0C8" w14:textId="77777777" w:rsidR="000B576C" w:rsidRPr="000B576C" w:rsidRDefault="000B576C" w:rsidP="000B576C">
      <w:pP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r w:rsidRPr="000B576C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другого (магістерського) рівня</w:t>
      </w:r>
    </w:p>
    <w:p w14:paraId="20FC099E" w14:textId="77777777" w:rsidR="000B576C" w:rsidRPr="000B576C" w:rsidRDefault="000B576C" w:rsidP="000B576C">
      <w:pP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r w:rsidRPr="000B576C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Спеціальність </w:t>
      </w:r>
      <w:r w:rsidRPr="000B576C">
        <w:rPr>
          <w:rFonts w:ascii="Times New Roman" w:eastAsia="Calibri" w:hAnsi="Times New Roman" w:cs="Times New Roman"/>
          <w:spacing w:val="-8"/>
          <w:sz w:val="28"/>
          <w:szCs w:val="28"/>
          <w:u w:val="single"/>
          <w:lang w:val="uk-UA"/>
        </w:rPr>
        <w:t>014 Середня освіта (Фізика)</w:t>
      </w:r>
    </w:p>
    <w:p w14:paraId="0009A787" w14:textId="77777777" w:rsidR="000B576C" w:rsidRPr="000B576C" w:rsidRDefault="000B576C" w:rsidP="000B576C">
      <w:pPr>
        <w:rPr>
          <w:rFonts w:ascii="Times New Roman" w:eastAsia="Calibri" w:hAnsi="Times New Roman" w:cs="Times New Roman"/>
          <w:spacing w:val="-8"/>
          <w:sz w:val="28"/>
          <w:szCs w:val="28"/>
          <w:u w:val="single"/>
          <w:lang w:val="uk-UA"/>
        </w:rPr>
      </w:pPr>
      <w:r w:rsidRPr="000B576C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Галузь знань </w:t>
      </w:r>
      <w:r w:rsidRPr="000B576C">
        <w:rPr>
          <w:rFonts w:ascii="Times New Roman" w:eastAsia="Calibri" w:hAnsi="Times New Roman" w:cs="Times New Roman"/>
          <w:spacing w:val="-8"/>
          <w:sz w:val="28"/>
          <w:szCs w:val="28"/>
          <w:u w:val="single"/>
          <w:lang w:val="uk-UA"/>
        </w:rPr>
        <w:t>01 Освіта / педагогіка</w:t>
      </w:r>
    </w:p>
    <w:p w14:paraId="0D6C9135" w14:textId="77777777" w:rsidR="000B576C" w:rsidRPr="000B576C" w:rsidRDefault="000B576C" w:rsidP="000B576C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14:paraId="190B4359" w14:textId="77777777" w:rsidR="000B576C" w:rsidRPr="000B576C" w:rsidRDefault="000B576C" w:rsidP="000B576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236B17" w14:textId="77777777" w:rsidR="000B576C" w:rsidRPr="000B576C" w:rsidRDefault="000B576C" w:rsidP="000B576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D03D1F" w14:textId="77777777" w:rsidR="000B576C" w:rsidRPr="000B576C" w:rsidRDefault="000B576C" w:rsidP="000B576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C5A7E0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DC61F81" w14:textId="77777777" w:rsidR="000B576C" w:rsidRPr="000B576C" w:rsidRDefault="000B576C" w:rsidP="000B576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9582C7" w14:textId="69A19D11" w:rsidR="000B576C" w:rsidRDefault="000B576C" w:rsidP="000B576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576C">
        <w:rPr>
          <w:rFonts w:ascii="Times New Roman" w:eastAsia="Calibri" w:hAnsi="Times New Roman" w:cs="Times New Roman"/>
          <w:sz w:val="28"/>
          <w:szCs w:val="28"/>
          <w:lang w:val="uk-UA"/>
        </w:rPr>
        <w:t>Херсон 202</w:t>
      </w:r>
      <w:r w:rsidRPr="000B576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</w:p>
    <w:p w14:paraId="78139453" w14:textId="222E3DB9" w:rsidR="000B576C" w:rsidRDefault="000B576C" w:rsidP="000B57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302A890" w14:textId="78098BA7" w:rsidR="000B576C" w:rsidRDefault="000B576C" w:rsidP="000B57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13F82BA" w14:textId="1C86D331" w:rsidR="000B576C" w:rsidRDefault="000B576C" w:rsidP="000B57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E69CFD8" w14:textId="77777777" w:rsidR="000B576C" w:rsidRPr="000B576C" w:rsidRDefault="000B576C" w:rsidP="000B576C">
      <w:pP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57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7289"/>
      </w:tblGrid>
      <w:tr w:rsidR="000B576C" w:rsidRPr="000B576C" w14:paraId="0D4DAAB3" w14:textId="77777777" w:rsidTr="00B56783">
        <w:tc>
          <w:tcPr>
            <w:tcW w:w="1778" w:type="dxa"/>
          </w:tcPr>
          <w:p w14:paraId="6C5777BE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7289" w:type="dxa"/>
          </w:tcPr>
          <w:p w14:paraId="7299B1FA" w14:textId="7CACC765" w:rsidR="000B576C" w:rsidRPr="000B576C" w:rsidRDefault="000B576C" w:rsidP="000B576C">
            <w:pPr>
              <w:ind w:right="10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Матеріалознавство</w:t>
            </w:r>
          </w:p>
        </w:tc>
      </w:tr>
      <w:tr w:rsidR="000B576C" w:rsidRPr="000B576C" w14:paraId="464D4513" w14:textId="77777777" w:rsidTr="00B56783">
        <w:tc>
          <w:tcPr>
            <w:tcW w:w="1778" w:type="dxa"/>
          </w:tcPr>
          <w:p w14:paraId="779A57A3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7289" w:type="dxa"/>
          </w:tcPr>
          <w:p w14:paraId="7720F469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0B576C" w:rsidRPr="000B576C" w14:paraId="7C15056B" w14:textId="77777777" w:rsidTr="00B56783">
        <w:tc>
          <w:tcPr>
            <w:tcW w:w="1778" w:type="dxa"/>
          </w:tcPr>
          <w:p w14:paraId="1D5FB728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289" w:type="dxa"/>
          </w:tcPr>
          <w:p w14:paraId="7C02376B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Другий (магістерський) рівень освіти</w:t>
            </w:r>
          </w:p>
        </w:tc>
      </w:tr>
      <w:tr w:rsidR="000B576C" w:rsidRPr="000B576C" w14:paraId="17151563" w14:textId="77777777" w:rsidTr="00B56783">
        <w:tc>
          <w:tcPr>
            <w:tcW w:w="1778" w:type="dxa"/>
          </w:tcPr>
          <w:p w14:paraId="4D7DDC52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Кількість кредитів</w:t>
            </w: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en-US"/>
              </w:rPr>
              <w:t>/</w:t>
            </w: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289" w:type="dxa"/>
          </w:tcPr>
          <w:p w14:paraId="707A18C4" w14:textId="0909ED4F" w:rsidR="000B576C" w:rsidRPr="000B576C" w:rsidRDefault="004E610D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>3</w:t>
            </w:r>
            <w:r w:rsidR="000B576C"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0B576C"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>кредит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>а</w:t>
            </w:r>
            <w:proofErr w:type="spellEnd"/>
            <w:r w:rsidR="000B576C"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0B576C"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>9</w:t>
            </w:r>
            <w:r w:rsidR="000B576C"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  <w:t>0 годин</w:t>
            </w:r>
          </w:p>
        </w:tc>
      </w:tr>
      <w:tr w:rsidR="000B576C" w:rsidRPr="000B576C" w14:paraId="158B7B29" w14:textId="77777777" w:rsidTr="00B56783">
        <w:tc>
          <w:tcPr>
            <w:tcW w:w="1778" w:type="dxa"/>
          </w:tcPr>
          <w:p w14:paraId="1EE225F2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289" w:type="dxa"/>
          </w:tcPr>
          <w:p w14:paraId="64D68A7B" w14:textId="3CCA1E5E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І семестр</w:t>
            </w:r>
          </w:p>
        </w:tc>
      </w:tr>
      <w:tr w:rsidR="000B576C" w:rsidRPr="000B576C" w14:paraId="1DBE8D3C" w14:textId="77777777" w:rsidTr="00B56783">
        <w:tc>
          <w:tcPr>
            <w:tcW w:w="1778" w:type="dxa"/>
          </w:tcPr>
          <w:p w14:paraId="23008BA5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289" w:type="dxa"/>
          </w:tcPr>
          <w:p w14:paraId="302E3EDC" w14:textId="77777777" w:rsidR="000B576C" w:rsidRDefault="000B576C" w:rsidP="000B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proofErr w:type="spellEnd"/>
            <w:r w:rsidRPr="000B57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Ivashina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кандидат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фізико-математичних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наук, доцент</w:t>
            </w:r>
          </w:p>
          <w:p w14:paraId="66F9F1CF" w14:textId="792E39F0" w:rsidR="000B576C" w:rsidRPr="000B576C" w:rsidRDefault="00032BD4" w:rsidP="000B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5" w:history="1">
              <w:r w:rsidR="000B576C">
                <w:rPr>
                  <w:rStyle w:val="a5"/>
                  <w:szCs w:val="28"/>
                </w:rPr>
                <w:t>https://orcid.org/0000-0001-9568-2393</w:t>
              </w:r>
            </w:hyperlink>
          </w:p>
        </w:tc>
      </w:tr>
      <w:tr w:rsidR="000B576C" w:rsidRPr="000B576C" w14:paraId="6899F19E" w14:textId="77777777" w:rsidTr="00B56783">
        <w:tc>
          <w:tcPr>
            <w:tcW w:w="1778" w:type="dxa"/>
          </w:tcPr>
          <w:p w14:paraId="323CF404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289" w:type="dxa"/>
          </w:tcPr>
          <w:p w14:paraId="676A0049" w14:textId="413F4A19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en-US"/>
              </w:rPr>
              <w:t>ivashinauriy@gmail.com</w:t>
            </w:r>
          </w:p>
        </w:tc>
      </w:tr>
      <w:tr w:rsidR="000B576C" w:rsidRPr="000B576C" w14:paraId="11093D1C" w14:textId="77777777" w:rsidTr="00B56783">
        <w:tc>
          <w:tcPr>
            <w:tcW w:w="1778" w:type="dxa"/>
          </w:tcPr>
          <w:p w14:paraId="74D73953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7289" w:type="dxa"/>
          </w:tcPr>
          <w:p w14:paraId="7FBF19D0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(0552) 326768</w:t>
            </w:r>
          </w:p>
          <w:p w14:paraId="614E39B8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</w:tr>
      <w:tr w:rsidR="000B576C" w:rsidRPr="000B576C" w14:paraId="24AA20A0" w14:textId="77777777" w:rsidTr="00B56783">
        <w:tc>
          <w:tcPr>
            <w:tcW w:w="1778" w:type="dxa"/>
          </w:tcPr>
          <w:p w14:paraId="2A7A18EA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Email</w:t>
            </w:r>
            <w:proofErr w:type="spellEnd"/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289" w:type="dxa"/>
          </w:tcPr>
          <w:p w14:paraId="7C03463A" w14:textId="13E7F339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yellow"/>
                <w:lang w:val="en-US"/>
              </w:rPr>
              <w:t>ivashinauriy@gmail.com</w:t>
            </w:r>
          </w:p>
        </w:tc>
      </w:tr>
      <w:tr w:rsidR="000B576C" w:rsidRPr="000B576C" w14:paraId="2E449582" w14:textId="77777777" w:rsidTr="00B56783">
        <w:tc>
          <w:tcPr>
            <w:tcW w:w="1778" w:type="dxa"/>
          </w:tcPr>
          <w:p w14:paraId="2DB24FDA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289" w:type="dxa"/>
          </w:tcPr>
          <w:p w14:paraId="2CAE1ABD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за призначеним часом</w:t>
            </w:r>
          </w:p>
        </w:tc>
      </w:tr>
      <w:tr w:rsidR="000B576C" w:rsidRPr="000B576C" w14:paraId="7112BBC4" w14:textId="77777777" w:rsidTr="00B56783">
        <w:tc>
          <w:tcPr>
            <w:tcW w:w="1778" w:type="dxa"/>
          </w:tcPr>
          <w:p w14:paraId="182875B2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7289" w:type="dxa"/>
          </w:tcPr>
          <w:p w14:paraId="6337DC7E" w14:textId="77777777" w:rsidR="000B576C" w:rsidRPr="000B576C" w:rsidRDefault="000B576C" w:rsidP="000B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лекційні заняття, практичні заняття, презентації, тестові завдання, індивідуальні завдання, лабораторні роботи</w:t>
            </w:r>
          </w:p>
        </w:tc>
      </w:tr>
      <w:tr w:rsidR="000B576C" w:rsidRPr="000B576C" w14:paraId="18175029" w14:textId="77777777" w:rsidTr="00B56783">
        <w:tc>
          <w:tcPr>
            <w:tcW w:w="1778" w:type="dxa"/>
          </w:tcPr>
          <w:p w14:paraId="76BA40EA" w14:textId="77777777" w:rsidR="000B576C" w:rsidRPr="000B576C" w:rsidRDefault="000B576C" w:rsidP="000B5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289" w:type="dxa"/>
          </w:tcPr>
          <w:p w14:paraId="625954CE" w14:textId="77777777" w:rsidR="000B576C" w:rsidRPr="000B576C" w:rsidRDefault="000B576C" w:rsidP="000B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B576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екзамен</w:t>
            </w:r>
          </w:p>
        </w:tc>
      </w:tr>
    </w:tbl>
    <w:p w14:paraId="516AE8E5" w14:textId="77777777" w:rsidR="000B576C" w:rsidRPr="000B576C" w:rsidRDefault="000B576C" w:rsidP="000B57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D757548" w14:textId="1E493FE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032B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Силабус</w:t>
      </w:r>
      <w:proofErr w:type="spellEnd"/>
      <w:r w:rsidRPr="00032B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32BD4">
        <w:rPr>
          <w:rFonts w:ascii="Times New Roman" w:eastAsia="Calibri" w:hAnsi="Times New Roman" w:cs="Times New Roman"/>
          <w:sz w:val="28"/>
          <w:szCs w:val="28"/>
          <w:lang w:val="uk-UA"/>
        </w:rPr>
        <w:t>розроблен</w:t>
      </w:r>
      <w:proofErr w:type="spellEnd"/>
      <w:r w:rsidRPr="00032B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авторської програми «</w:t>
      </w:r>
      <w:r w:rsidRPr="00032BD4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Матеріалознавство</w:t>
      </w:r>
      <w:r w:rsidRPr="00032BD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Pr="00032B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внесена до </w:t>
      </w:r>
      <w:r w:rsidRPr="00032BD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«бакалавр», «магістр». </w:t>
      </w:r>
      <w:r w:rsidRPr="00032BD4">
        <w:rPr>
          <w:rFonts w:ascii="Times New Roman" w:eastAsia="Calibri" w:hAnsi="Times New Roman" w:cs="Times New Roman"/>
          <w:sz w:val="28"/>
          <w:szCs w:val="28"/>
          <w:lang w:val="uk-UA"/>
        </w:rPr>
        <w:t>Свідоцтво про реєстрацію авторських прав № 79262 від 02.04.2018.</w:t>
      </w:r>
    </w:p>
    <w:p w14:paraId="276732D1" w14:textId="7324C292" w:rsidR="00CF6EC7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14:paraId="2EE6EE93" w14:textId="058B4ADB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Мета та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B8DF2D" w14:textId="77777777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теоретично 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законами,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зв’язками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але й знати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5B70BAD" w14:textId="5D569C76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- них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фізико-механічних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стивостей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14:paraId="4BAFB134" w14:textId="33AFF28F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Завдання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курсу:</w:t>
      </w:r>
    </w:p>
    <w:p w14:paraId="11700452" w14:textId="77777777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BD4">
        <w:rPr>
          <w:rFonts w:ascii="Times New Roman" w:hAnsi="Times New Roman" w:cs="Times New Roman"/>
          <w:sz w:val="28"/>
          <w:szCs w:val="28"/>
        </w:rPr>
        <w:t>теоретичні:оволодіти</w:t>
      </w:r>
      <w:proofErr w:type="spellEnd"/>
      <w:proofErr w:type="gram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пластмас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наноматеріалів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кристалізація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пресування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);</w:t>
      </w:r>
    </w:p>
    <w:p w14:paraId="11626D99" w14:textId="77777777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електричними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механічними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тепловими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);</w:t>
      </w:r>
    </w:p>
    <w:p w14:paraId="081335B7" w14:textId="77777777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наперед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64006A9F" w14:textId="77777777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наперед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FF93408" w14:textId="5BDFC83D" w:rsidR="00CF6EC7" w:rsidRPr="00032BD4" w:rsidRDefault="00CF6EC7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311ADF1" w14:textId="364AEAF6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конструкційні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,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умов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деталей з метою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24DE1884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32BD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Програмні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компетентності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14:paraId="775F446F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формуватиме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:</w:t>
      </w:r>
    </w:p>
    <w:p w14:paraId="1CD15747" w14:textId="79F47D8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Інтегральна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</w:p>
    <w:p w14:paraId="260E0980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:</w:t>
      </w:r>
    </w:p>
    <w:p w14:paraId="038F2AA7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ЗК1.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</w:p>
    <w:p w14:paraId="2663F028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300FDCE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ЗК5.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815A86B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ЗК6.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1EAEFE2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ЗК7.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оволодівати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1D0170DE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 ЗК8.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3BE3A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6B59F26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>ФК1.</w:t>
      </w:r>
      <w:r w:rsidRPr="00032B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систематизовані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ab/>
        <w:t>та</w:t>
      </w:r>
    </w:p>
    <w:p w14:paraId="70A733BE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5978F00A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ФК2.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математичним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F9D9EC1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ФК3.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2CE013E7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ФК6.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об’єктивний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контроль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B684AD4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ФК12.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5B0B6C8C" w14:textId="0FDB22DF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>ФК14.</w:t>
      </w:r>
      <w:r w:rsidRPr="00032B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0502647" w14:textId="2DD4D52F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ФК15.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DD94F73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Програмні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2CA192" w14:textId="6C75E0FF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ПРЗ1.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253F1FFA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ПРЗ3.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1BA8DAB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ПРЗ5.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контролю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26C2A50" w14:textId="6606246F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ПРУ1.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AA02CAF" w14:textId="2274D7B9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>ПРУ2.</w:t>
      </w:r>
      <w:r w:rsidRPr="00032B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BD4">
        <w:rPr>
          <w:rFonts w:ascii="Times New Roman" w:hAnsi="Times New Roman" w:cs="Times New Roman"/>
          <w:sz w:val="28"/>
          <w:szCs w:val="28"/>
        </w:rPr>
        <w:t>методикою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2DDF0586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ПРУ3.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Розв’язує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BD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 курсу</w:t>
      </w:r>
      <w:proofErr w:type="gram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5FE3B840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ПРУ4.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математичним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E204F89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ПРУ7.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3848830" w14:textId="27A86C0D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ПРУ8.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опрацьовує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DB768C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Законспектувати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курсу: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металознавтва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кристалізації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залізовуглецеві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неметалеві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конструкційні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конструкційних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03BDC2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узгоджувати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сприяли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345EBA5" w14:textId="0378DA99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14:paraId="1C764E03" w14:textId="77777777" w:rsidR="004E610D" w:rsidRPr="004E610D" w:rsidRDefault="004E610D" w:rsidP="00032BD4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1057"/>
        <w:gridCol w:w="1633"/>
        <w:gridCol w:w="2037"/>
        <w:gridCol w:w="1734"/>
      </w:tblGrid>
      <w:tr w:rsidR="00CF6EC7" w:rsidRPr="00032BD4" w14:paraId="6D3E41F0" w14:textId="77777777" w:rsidTr="00CF6EC7">
        <w:tc>
          <w:tcPr>
            <w:tcW w:w="2330" w:type="dxa"/>
          </w:tcPr>
          <w:p w14:paraId="019B93A6" w14:textId="77777777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4E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E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1227" w:type="dxa"/>
          </w:tcPr>
          <w:p w14:paraId="487BF084" w14:textId="77777777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1903" w:type="dxa"/>
          </w:tcPr>
          <w:p w14:paraId="55C6CE0C" w14:textId="77777777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1184" w:type="dxa"/>
          </w:tcPr>
          <w:p w14:paraId="74B2C307" w14:textId="5D79AFFE" w:rsidR="00CF6EC7" w:rsidRPr="00032BD4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2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Лабораторних робіт</w:t>
            </w:r>
          </w:p>
        </w:tc>
        <w:tc>
          <w:tcPr>
            <w:tcW w:w="1981" w:type="dxa"/>
          </w:tcPr>
          <w:p w14:paraId="46DB7C59" w14:textId="2E044408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CF6EC7" w:rsidRPr="00032BD4" w14:paraId="1026297B" w14:textId="77777777" w:rsidTr="00CF6EC7">
        <w:tc>
          <w:tcPr>
            <w:tcW w:w="2330" w:type="dxa"/>
          </w:tcPr>
          <w:p w14:paraId="08748BB4" w14:textId="40C7FE9E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2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кредита</w:t>
            </w:r>
            <w:proofErr w:type="spellEnd"/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 годин</w:t>
            </w:r>
          </w:p>
        </w:tc>
        <w:tc>
          <w:tcPr>
            <w:tcW w:w="1227" w:type="dxa"/>
          </w:tcPr>
          <w:p w14:paraId="7A202113" w14:textId="1DC931F6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32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903" w:type="dxa"/>
          </w:tcPr>
          <w:p w14:paraId="3DA1C7F2" w14:textId="4A8E67CF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84" w:type="dxa"/>
          </w:tcPr>
          <w:p w14:paraId="1B5F839E" w14:textId="20617AF1" w:rsidR="00CF6EC7" w:rsidRPr="00032BD4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2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81" w:type="dxa"/>
          </w:tcPr>
          <w:p w14:paraId="02805414" w14:textId="08F0DD1E" w:rsidR="00CF6EC7" w:rsidRPr="004E610D" w:rsidRDefault="00CF6EC7" w:rsidP="0003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6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14:paraId="5602632B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32BD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Технічне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програмне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</w:p>
    <w:p w14:paraId="446313EE" w14:textId="587867B5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ауд. 415,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, проектор.</w:t>
      </w:r>
    </w:p>
    <w:p w14:paraId="1113DE19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32BD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Політика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курсу</w:t>
      </w:r>
    </w:p>
    <w:p w14:paraId="423C2106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контролю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lastRenderedPageBreak/>
        <w:t>лекційних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занять. Пропуск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25% занять без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поважної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причини буде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оцінений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як FX.</w:t>
      </w:r>
    </w:p>
    <w:p w14:paraId="17CBC903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цінується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серйозним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проступком,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до несправедливого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і, як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рейтингу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Мінімальне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спіймали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обмані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плагіаті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час тесту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контролю, буде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нульовим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послідовним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Будь ласка,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поставтесь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FEB25CB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F63B2" w14:textId="0FA4F538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32BD4">
        <w:rPr>
          <w:rFonts w:ascii="Times New Roman" w:hAnsi="Times New Roman" w:cs="Times New Roman"/>
          <w:b/>
          <w:bCs/>
          <w:sz w:val="28"/>
          <w:szCs w:val="28"/>
        </w:rPr>
        <w:tab/>
        <w:t>Схема курсу</w:t>
      </w:r>
    </w:p>
    <w:p w14:paraId="2ACFF9E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B3D0E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Предмет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Характеристика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кристалічної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1862765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Сплави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діаграми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стану.</w:t>
      </w:r>
    </w:p>
    <w:p w14:paraId="14633044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Двокомпонентні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Fe – C.</w:t>
      </w:r>
    </w:p>
    <w:p w14:paraId="3C3F64D0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сталей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чавунів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Вуглецеві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BD4">
        <w:rPr>
          <w:rFonts w:ascii="Times New Roman" w:hAnsi="Times New Roman" w:cs="Times New Roman"/>
          <w:sz w:val="28"/>
          <w:szCs w:val="28"/>
        </w:rPr>
        <w:t>сталі.Леговані</w:t>
      </w:r>
      <w:proofErr w:type="spellEnd"/>
      <w:proofErr w:type="gram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70B5DA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Термічна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обробка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сталі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156EB8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Пластична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деформація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рекристалізація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Реальна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нагріванні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охолодженні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нагріву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структуру і </w:t>
      </w:r>
      <w:proofErr w:type="spellStart"/>
      <w:proofErr w:type="gram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деформованого</w:t>
      </w:r>
      <w:proofErr w:type="spellEnd"/>
      <w:proofErr w:type="gram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відкал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гартування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3455D83" w14:textId="62B43C1B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ливарного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ливарного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Хіміко-термічна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порошкової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7214E2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Неметалеві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Полімери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пластмаси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3C0B0D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полімерів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полімерів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полімерів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пластмас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пластмас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46601DC4" w14:textId="135E5DAF" w:rsidR="004E610D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неметалеві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Деревина. Будова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Клеєві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Лакофарбові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32BD4">
        <w:rPr>
          <w:rFonts w:ascii="Times New Roman" w:hAnsi="Times New Roman" w:cs="Times New Roman"/>
          <w:sz w:val="28"/>
          <w:szCs w:val="28"/>
        </w:rPr>
        <w:t>Електроізоляційні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proofErr w:type="gram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263CB993" w14:textId="02A7FC52" w:rsid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786F2" w14:textId="4750AB63" w:rsid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BCBA6" w14:textId="31509278" w:rsid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FE679" w14:textId="2C09AAD7" w:rsid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BCFC1" w14:textId="368DC3D4" w:rsid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E7600" w14:textId="1521E3FA" w:rsid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33989B" w14:textId="77777777" w:rsidR="00032BD4" w:rsidRPr="00032BD4" w:rsidRDefault="00032BD4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F1744" w14:textId="77777777" w:rsidR="00F9438B" w:rsidRPr="00F9438B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9438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СТРУКТУРА НАВЧАЛЬНОЇ ДИСЦИПЛІНИ</w:t>
      </w:r>
    </w:p>
    <w:tbl>
      <w:tblPr>
        <w:tblW w:w="5105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685"/>
        <w:gridCol w:w="614"/>
        <w:gridCol w:w="429"/>
        <w:gridCol w:w="530"/>
        <w:gridCol w:w="597"/>
        <w:gridCol w:w="548"/>
        <w:gridCol w:w="672"/>
        <w:gridCol w:w="193"/>
        <w:gridCol w:w="353"/>
        <w:gridCol w:w="590"/>
        <w:gridCol w:w="529"/>
        <w:gridCol w:w="500"/>
        <w:gridCol w:w="527"/>
      </w:tblGrid>
      <w:tr w:rsidR="00F9438B" w:rsidRPr="00F9438B" w14:paraId="65881EFF" w14:textId="77777777" w:rsidTr="00967D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vMerge w:val="restart"/>
          </w:tcPr>
          <w:p w14:paraId="161C6E76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546" w:type="pct"/>
            <w:gridSpan w:val="13"/>
          </w:tcPr>
          <w:p w14:paraId="5BC667C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9438B" w:rsidRPr="00F9438B" w14:paraId="22F63534" w14:textId="77777777" w:rsidTr="00967D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vMerge/>
          </w:tcPr>
          <w:p w14:paraId="321A177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3" w:type="pct"/>
            <w:gridSpan w:val="6"/>
          </w:tcPr>
          <w:p w14:paraId="2E023F1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763" w:type="pct"/>
            <w:gridSpan w:val="7"/>
          </w:tcPr>
          <w:p w14:paraId="273B248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F9438B" w:rsidRPr="00F9438B" w14:paraId="4DA98F6D" w14:textId="77777777" w:rsidTr="00967D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vMerge/>
          </w:tcPr>
          <w:p w14:paraId="5A63C8A8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14:paraId="4115BAC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25" w:type="pct"/>
            <w:gridSpan w:val="5"/>
            <w:shd w:val="clear" w:color="auto" w:fill="auto"/>
          </w:tcPr>
          <w:p w14:paraId="79AB7E1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</w:tcPr>
          <w:p w14:paraId="4312419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10" w:type="pct"/>
            <w:gridSpan w:val="5"/>
            <w:shd w:val="clear" w:color="auto" w:fill="auto"/>
          </w:tcPr>
          <w:p w14:paraId="2E6AAE3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F9438B" w:rsidRPr="00F9438B" w14:paraId="4A30B528" w14:textId="77777777" w:rsidTr="00967D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vMerge/>
          </w:tcPr>
          <w:p w14:paraId="7CF02B9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24C4A49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" w:type="pct"/>
            <w:shd w:val="clear" w:color="auto" w:fill="auto"/>
          </w:tcPr>
          <w:p w14:paraId="26EABD7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25" w:type="pct"/>
          </w:tcPr>
          <w:p w14:paraId="1673A08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78" w:type="pct"/>
          </w:tcPr>
          <w:p w14:paraId="6CE21F26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13" w:type="pct"/>
          </w:tcPr>
          <w:p w14:paraId="39D1F94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87" w:type="pct"/>
          </w:tcPr>
          <w:p w14:paraId="4754F80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" w:type="pct"/>
            <w:gridSpan w:val="2"/>
            <w:vMerge/>
            <w:shd w:val="clear" w:color="auto" w:fill="auto"/>
          </w:tcPr>
          <w:p w14:paraId="21BBF93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14:paraId="4354703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309" w:type="pct"/>
          </w:tcPr>
          <w:p w14:paraId="1961175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77" w:type="pct"/>
          </w:tcPr>
          <w:p w14:paraId="3CCA2586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62" w:type="pct"/>
          </w:tcPr>
          <w:p w14:paraId="320E5E3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77" w:type="pct"/>
          </w:tcPr>
          <w:p w14:paraId="6C42652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438B" w:rsidRPr="00F9438B" w14:paraId="202266AE" w14:textId="77777777" w:rsidTr="00967D5C">
        <w:tblPrEx>
          <w:tblCellMar>
            <w:top w:w="0" w:type="dxa"/>
            <w:bottom w:w="0" w:type="dxa"/>
          </w:tblCellMar>
        </w:tblPrEx>
        <w:tc>
          <w:tcPr>
            <w:tcW w:w="1454" w:type="pct"/>
          </w:tcPr>
          <w:p w14:paraId="49A2ADC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00F0800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14:paraId="256B9DBA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</w:tcPr>
          <w:p w14:paraId="2C8EA99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8" w:type="pct"/>
          </w:tcPr>
          <w:p w14:paraId="780D9E1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3" w:type="pct"/>
          </w:tcPr>
          <w:p w14:paraId="3D7808A8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" w:type="pct"/>
          </w:tcPr>
          <w:p w14:paraId="40F0DACA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7306555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14:paraId="5504E24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" w:type="pct"/>
          </w:tcPr>
          <w:p w14:paraId="376927B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" w:type="pct"/>
          </w:tcPr>
          <w:p w14:paraId="582474B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2" w:type="pct"/>
          </w:tcPr>
          <w:p w14:paraId="099F3C6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" w:type="pct"/>
          </w:tcPr>
          <w:p w14:paraId="3CDDB2D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9438B" w:rsidRPr="00F9438B" w14:paraId="7467104E" w14:textId="77777777" w:rsidTr="00967D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</w:tcPr>
          <w:p w14:paraId="62C9D7C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</w:tr>
      <w:tr w:rsidR="00F9438B" w:rsidRPr="00F9438B" w14:paraId="79760041" w14:textId="77777777" w:rsidTr="00967D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4"/>
          </w:tcPr>
          <w:p w14:paraId="30E9709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 xml:space="preserve"> модуль 1. </w:t>
            </w: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матеріалознавства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науки,техніки</w:t>
            </w:r>
            <w:proofErr w:type="spellEnd"/>
            <w:proofErr w:type="gram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F9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0BB8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F9438B" w:rsidRPr="00F9438B" w14:paraId="32367415" w14:textId="77777777" w:rsidTr="00967D5C">
        <w:tblPrEx>
          <w:tblCellMar>
            <w:top w:w="0" w:type="dxa"/>
            <w:bottom w:w="0" w:type="dxa"/>
          </w:tblCellMar>
        </w:tblPrEx>
        <w:tc>
          <w:tcPr>
            <w:tcW w:w="1454" w:type="pct"/>
          </w:tcPr>
          <w:p w14:paraId="3EF4A6E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Основні властивості матеріалів та методи  їх вивчення.</w:t>
            </w:r>
          </w:p>
        </w:tc>
        <w:tc>
          <w:tcPr>
            <w:tcW w:w="359" w:type="pct"/>
            <w:shd w:val="clear" w:color="auto" w:fill="auto"/>
          </w:tcPr>
          <w:p w14:paraId="4AB3343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22" w:type="pct"/>
            <w:shd w:val="clear" w:color="auto" w:fill="auto"/>
          </w:tcPr>
          <w:p w14:paraId="57E8304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</w:tcPr>
          <w:p w14:paraId="0191C488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</w:tcPr>
          <w:p w14:paraId="502D3E9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3" w:type="pct"/>
          </w:tcPr>
          <w:p w14:paraId="72C8097D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</w:tcPr>
          <w:p w14:paraId="7F2100C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14:paraId="30271886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6E4A4D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" w:type="pct"/>
          </w:tcPr>
          <w:p w14:paraId="6C95D0D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</w:tcPr>
          <w:p w14:paraId="4A7962B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" w:type="pct"/>
          </w:tcPr>
          <w:p w14:paraId="2DCC7FD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</w:tcPr>
          <w:p w14:paraId="1950220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9438B" w:rsidRPr="00F9438B" w14:paraId="1C10CC2F" w14:textId="77777777" w:rsidTr="00967D5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54" w:type="pct"/>
          </w:tcPr>
          <w:p w14:paraId="6E10280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Сплави та їх діаграми стану.</w:t>
            </w:r>
          </w:p>
        </w:tc>
        <w:tc>
          <w:tcPr>
            <w:tcW w:w="359" w:type="pct"/>
            <w:shd w:val="clear" w:color="auto" w:fill="auto"/>
          </w:tcPr>
          <w:p w14:paraId="7CDCDC6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2" w:type="pct"/>
            <w:shd w:val="clear" w:color="auto" w:fill="auto"/>
          </w:tcPr>
          <w:p w14:paraId="3FFF398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</w:tcPr>
          <w:p w14:paraId="3D4DA94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</w:tcPr>
          <w:p w14:paraId="676326E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</w:tcPr>
          <w:p w14:paraId="61D9967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</w:tcPr>
          <w:p w14:paraId="736EEFF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14:paraId="01F86CD7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327417B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" w:type="pct"/>
          </w:tcPr>
          <w:p w14:paraId="2ABDEC3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</w:tcPr>
          <w:p w14:paraId="531C080B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</w:tcPr>
          <w:p w14:paraId="756D76D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</w:tcPr>
          <w:p w14:paraId="0374348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F9438B" w:rsidRPr="00F9438B" w14:paraId="2B3DD6DC" w14:textId="77777777" w:rsidTr="00967D5C">
        <w:tblPrEx>
          <w:tblCellMar>
            <w:top w:w="0" w:type="dxa"/>
            <w:bottom w:w="0" w:type="dxa"/>
          </w:tblCellMar>
        </w:tblPrEx>
        <w:tc>
          <w:tcPr>
            <w:tcW w:w="1454" w:type="pct"/>
          </w:tcPr>
          <w:p w14:paraId="4B75DB1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3.Термічна обробка сталі та технологія металів</w:t>
            </w:r>
          </w:p>
        </w:tc>
        <w:tc>
          <w:tcPr>
            <w:tcW w:w="359" w:type="pct"/>
            <w:shd w:val="clear" w:color="auto" w:fill="auto"/>
          </w:tcPr>
          <w:p w14:paraId="036243F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2" w:type="pct"/>
            <w:shd w:val="clear" w:color="auto" w:fill="auto"/>
          </w:tcPr>
          <w:p w14:paraId="6BD723D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</w:tcPr>
          <w:p w14:paraId="3785D9C6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" w:type="pct"/>
          </w:tcPr>
          <w:p w14:paraId="25005A7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3" w:type="pct"/>
          </w:tcPr>
          <w:p w14:paraId="199B89C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</w:tcPr>
          <w:p w14:paraId="7F009AF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2" w:type="pct"/>
            <w:shd w:val="clear" w:color="auto" w:fill="auto"/>
          </w:tcPr>
          <w:p w14:paraId="5546A8A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12C04F0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" w:type="pct"/>
          </w:tcPr>
          <w:p w14:paraId="76A59DC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</w:tcPr>
          <w:p w14:paraId="4AA1F4D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</w:tcPr>
          <w:p w14:paraId="423BB6F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</w:tcPr>
          <w:p w14:paraId="07E65B0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9438B" w:rsidRPr="00F9438B" w14:paraId="7B402CD2" w14:textId="77777777" w:rsidTr="00967D5C">
        <w:tblPrEx>
          <w:tblCellMar>
            <w:top w:w="0" w:type="dxa"/>
            <w:bottom w:w="0" w:type="dxa"/>
          </w:tblCellMar>
        </w:tblPrEx>
        <w:tc>
          <w:tcPr>
            <w:tcW w:w="1454" w:type="pct"/>
          </w:tcPr>
          <w:p w14:paraId="7E6870D0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Неметалеві матеріали.</w:t>
            </w:r>
          </w:p>
        </w:tc>
        <w:tc>
          <w:tcPr>
            <w:tcW w:w="359" w:type="pct"/>
            <w:shd w:val="clear" w:color="auto" w:fill="auto"/>
          </w:tcPr>
          <w:p w14:paraId="07BCD2ED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2" w:type="pct"/>
            <w:shd w:val="clear" w:color="auto" w:fill="auto"/>
          </w:tcPr>
          <w:p w14:paraId="71F48F3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</w:tcPr>
          <w:p w14:paraId="4E26DE8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" w:type="pct"/>
          </w:tcPr>
          <w:p w14:paraId="4434186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pct"/>
          </w:tcPr>
          <w:p w14:paraId="1D98A06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</w:tcPr>
          <w:p w14:paraId="034D59D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14:paraId="497D6F1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6C1ABBB6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14:paraId="58A03279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</w:tcPr>
          <w:p w14:paraId="14BD217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" w:type="pct"/>
          </w:tcPr>
          <w:p w14:paraId="36B91C48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</w:tcPr>
          <w:p w14:paraId="767ED86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9438B" w:rsidRPr="00F9438B" w14:paraId="0958A44A" w14:textId="77777777" w:rsidTr="00967D5C">
        <w:tblPrEx>
          <w:tblCellMar>
            <w:top w:w="0" w:type="dxa"/>
            <w:bottom w:w="0" w:type="dxa"/>
          </w:tblCellMar>
        </w:tblPrEx>
        <w:tc>
          <w:tcPr>
            <w:tcW w:w="1454" w:type="pct"/>
          </w:tcPr>
          <w:p w14:paraId="680472FE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359" w:type="pct"/>
            <w:shd w:val="clear" w:color="auto" w:fill="auto"/>
          </w:tcPr>
          <w:p w14:paraId="0DBC5A1C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2" w:type="pct"/>
            <w:shd w:val="clear" w:color="auto" w:fill="auto"/>
          </w:tcPr>
          <w:p w14:paraId="0DD9A3DD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5" w:type="pct"/>
          </w:tcPr>
          <w:p w14:paraId="717017E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8" w:type="pct"/>
          </w:tcPr>
          <w:p w14:paraId="74519863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14:paraId="794FF2E4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</w:tcPr>
          <w:p w14:paraId="0B260872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52" w:type="pct"/>
            <w:shd w:val="clear" w:color="auto" w:fill="auto"/>
          </w:tcPr>
          <w:p w14:paraId="4D1EBB6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2F075A6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9" w:type="pct"/>
          </w:tcPr>
          <w:p w14:paraId="4823AC95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" w:type="pct"/>
          </w:tcPr>
          <w:p w14:paraId="1BA0AC71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" w:type="pct"/>
          </w:tcPr>
          <w:p w14:paraId="7E043C7F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</w:tcPr>
          <w:p w14:paraId="0391BEFD" w14:textId="77777777" w:rsidR="00F9438B" w:rsidRPr="00F9438B" w:rsidRDefault="00F9438B" w:rsidP="00032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</w:tbl>
    <w:p w14:paraId="28A35D16" w14:textId="77777777" w:rsidR="00F9438B" w:rsidRPr="00F9438B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C6844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en-US"/>
        </w:rPr>
        <w:t>ЗМІСТОВІ МОДУЛІ НАВЧАЛЬНОЇ ДИСЦИПЛІНИ</w:t>
      </w:r>
    </w:p>
    <w:p w14:paraId="60CCBA5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en-US"/>
        </w:rPr>
        <w:t>Змістовий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en-US"/>
        </w:rPr>
        <w:t>модуль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14:paraId="291621D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науки,</w:t>
      </w:r>
    </w:p>
    <w:p w14:paraId="7856B3CB" w14:textId="2AA1FB68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3C796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Лекційний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модуль</w:t>
      </w:r>
    </w:p>
    <w:p w14:paraId="7809DAE6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1FA723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механічних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5BADA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229606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Будова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залізовуглецевих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</w:p>
    <w:p w14:paraId="03E2254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Термічна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BD822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3786E0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Полімери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пластмаси</w:t>
      </w:r>
      <w:proofErr w:type="spellEnd"/>
    </w:p>
    <w:p w14:paraId="473E131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неметалеві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6FDF3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Практичний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модуль</w:t>
      </w:r>
    </w:p>
    <w:p w14:paraId="65D23E01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DA1991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7AA9F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залізовуглеців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D78C26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Лабораторний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модуль</w:t>
      </w:r>
    </w:p>
    <w:p w14:paraId="57286DB6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твердості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за шкалою Мооса.</w:t>
      </w:r>
    </w:p>
    <w:p w14:paraId="4505CC23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мікротвердості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додекаборидів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рідкісноземельних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мікротвердометра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ПМТ-3.</w:t>
      </w:r>
    </w:p>
    <w:p w14:paraId="0A753F9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порошкової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металургії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148A3F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щільності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дислокації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оптичної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мікроскопії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08744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Модуль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самостійної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</w:p>
    <w:p w14:paraId="7962402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  <w:t>Вступ. Предмет «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Матеріалознавство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4503DF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 Атомно-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кристалічна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Поліморфізм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B24FD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Механічні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Криве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Мета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пружності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Твердість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</w:p>
    <w:p w14:paraId="0EAEA090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двокомпонентних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526EAE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Кольорові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метали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кольорових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6CF628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Будування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залізо-вуглецевих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залізо-вуглець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залізо-вуглець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2C3A6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Конструкційні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інструментальні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Чавуни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C9E533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</w:p>
    <w:p w14:paraId="576AB68F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EA6E68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ливарного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9A592F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тиском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C2BE8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Хіміко-термічна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цементація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азотування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борировання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дифузійна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металізація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20D0FD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порошкової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металургії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266E0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Підсумкова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тека</w:t>
      </w:r>
      <w:proofErr w:type="spellEnd"/>
    </w:p>
    <w:p w14:paraId="0F58974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пракгичних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занять.</w:t>
      </w:r>
    </w:p>
    <w:p w14:paraId="54AF6AB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реферати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89E8B2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4C7337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14:paraId="00ECD2F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Пояснювально-ілюстративний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66C466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Евристичний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892F0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Проблемного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DE312A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Дослідницький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1105F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контролю:</w:t>
      </w:r>
    </w:p>
    <w:p w14:paraId="611E387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робота</w:t>
      </w:r>
    </w:p>
    <w:p w14:paraId="5F69B487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Самостійні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14:paraId="753F83D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14:paraId="20B0F4E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рефератів</w:t>
      </w:r>
      <w:proofErr w:type="spellEnd"/>
    </w:p>
    <w:p w14:paraId="3FAFB45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роботах з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до них </w:t>
      </w:r>
      <w:proofErr w:type="gramStart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і 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proofErr w:type="gram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</w:p>
    <w:p w14:paraId="52A6E59E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</w:p>
    <w:p w14:paraId="67C3C114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</w:p>
    <w:p w14:paraId="5BD2FE92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7D0CDE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ЗМІСТОВІ МОДУЛІ НАВЧАЛЬНОЇ ДИСЦИПЛІНИ</w:t>
      </w:r>
    </w:p>
    <w:p w14:paraId="006374B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Заочна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14:paraId="0281890B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Змістовий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модуль 1</w:t>
      </w:r>
    </w:p>
    <w:p w14:paraId="3E732870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науки,</w:t>
      </w:r>
    </w:p>
    <w:p w14:paraId="62E336C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BA467E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Лекційний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модуль</w:t>
      </w:r>
    </w:p>
    <w:p w14:paraId="222F187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C9FB54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механічних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BB692E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BEF53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Будова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залізовуглецевих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</w:p>
    <w:p w14:paraId="4ED2CB73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Термічна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D3CDA7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852F1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Полімери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пластмаси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неметалеві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6CAB1A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модуль</w:t>
      </w:r>
    </w:p>
    <w:p w14:paraId="6EECAFD4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9223861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D98522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залізовуглеців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D51D0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Лабораторний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модуль</w:t>
      </w:r>
    </w:p>
    <w:p w14:paraId="11C8624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твердості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за шкалою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en-US"/>
        </w:rPr>
        <w:t>Мооса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6FFC80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мікротвердості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додекаборидів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рідкісноземельних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мікротвердометра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ПМТ-3.</w:t>
      </w:r>
    </w:p>
    <w:p w14:paraId="16369880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порошкової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металургії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852823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14:paraId="5A61A50C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  <w:t>Вступ. Предмет «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Матеріалознавство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матеріалознавства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05B17F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 Атомно-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кристалічна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Поліморфізм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743C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Механічні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Криве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міності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Мета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пружності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Твердість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</w:p>
    <w:p w14:paraId="22711A9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двокомпонентних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16DEA3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Кольорові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метали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кольорових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67F8B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Будування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залізо-вуглецевих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сплавів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залізо-вуглець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діаграма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залізо-вуглець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BE6F95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Конструкційні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інструментальні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Чавуни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CB89D0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</w:p>
    <w:p w14:paraId="2672AC82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термічної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50B6B2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ливарного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7D785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тиском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7FA6B5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Хіміко-термічна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цементація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азотування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борировання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дифузійна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металізація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2B51A3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порошкової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металургії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E79290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EE6892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Підсумкова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тека</w:t>
      </w:r>
      <w:proofErr w:type="spellEnd"/>
    </w:p>
    <w:p w14:paraId="262E5CBE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Усно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пракгичних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занять.</w:t>
      </w:r>
    </w:p>
    <w:p w14:paraId="5BA8A53C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реферати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FD7E22F" w14:textId="77777777" w:rsidR="00F9438B" w:rsidRPr="00032BD4" w:rsidRDefault="00F9438B" w:rsidP="00032B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0D1AC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9C978A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1.Пояснювально-ілюстративний.</w:t>
      </w:r>
    </w:p>
    <w:p w14:paraId="012633C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Евристичний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9DFB7E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Проблемного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C5D736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Дослідницький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DDE7B5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контролю:</w:t>
      </w:r>
    </w:p>
    <w:p w14:paraId="500EC59C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>1.Індивідуальна робота</w:t>
      </w:r>
    </w:p>
    <w:p w14:paraId="61BFD25D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Самостійні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14:paraId="16F63678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14:paraId="7E9456A8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рефератів</w:t>
      </w:r>
      <w:proofErr w:type="spellEnd"/>
    </w:p>
    <w:p w14:paraId="1BCD6CA9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роботах з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до них </w:t>
      </w:r>
      <w:proofErr w:type="gramStart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і 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proofErr w:type="gramEnd"/>
      <w:r w:rsidRPr="0003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</w:p>
    <w:p w14:paraId="32CE4C2A" w14:textId="77777777" w:rsidR="00F9438B" w:rsidRPr="00032BD4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BD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en-US"/>
        </w:rPr>
        <w:t>Консультації</w:t>
      </w:r>
      <w:proofErr w:type="spellEnd"/>
    </w:p>
    <w:p w14:paraId="1E36E34B" w14:textId="2F4CA6A6" w:rsidR="00F9438B" w:rsidRPr="00F9438B" w:rsidRDefault="00F9438B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BD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en-US"/>
        </w:rPr>
        <w:t>Екзамен</w:t>
      </w:r>
      <w:proofErr w:type="spellEnd"/>
    </w:p>
    <w:p w14:paraId="1670608B" w14:textId="77777777" w:rsidR="004E610D" w:rsidRPr="00032BD4" w:rsidRDefault="004E610D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50091" w14:textId="77777777" w:rsidR="00FB0CDC" w:rsidRPr="00032BD4" w:rsidRDefault="00FB0CD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14:paraId="0D791A39" w14:textId="348416CC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поточного контролю: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лекцією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,</w:t>
      </w:r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модульні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9EFB4E6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контролю –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BFBE498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</w:p>
    <w:p w14:paraId="097DA3F7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3408013D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лабораторному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32245814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14:paraId="3753C5B7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Рейтинг студента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за:</w:t>
      </w:r>
    </w:p>
    <w:p w14:paraId="23D4DE24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контрольний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);</w:t>
      </w:r>
    </w:p>
    <w:p w14:paraId="385ACAB1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рейтинговий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);</w:t>
      </w:r>
    </w:p>
    <w:p w14:paraId="0E1ECA4F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екзамені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(40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);</w:t>
      </w:r>
    </w:p>
    <w:p w14:paraId="4E4402A7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вагових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2226A539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</w:t>
      </w:r>
    </w:p>
    <w:p w14:paraId="1088FD50" w14:textId="6DDB266A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BD4">
        <w:rPr>
          <w:rFonts w:ascii="Times New Roman" w:hAnsi="Times New Roman" w:cs="Times New Roman"/>
          <w:sz w:val="28"/>
          <w:szCs w:val="28"/>
        </w:rPr>
        <w:t>( з</w:t>
      </w:r>
      <w:proofErr w:type="gramEnd"/>
      <w:r w:rsidRPr="00032BD4">
        <w:rPr>
          <w:rFonts w:ascii="Times New Roman" w:hAnsi="Times New Roman" w:cs="Times New Roman"/>
          <w:sz w:val="28"/>
          <w:szCs w:val="28"/>
        </w:rPr>
        <w:t xml:space="preserve"> них 30 –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).</w:t>
      </w:r>
    </w:p>
    <w:p w14:paraId="726A9D22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білеті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):</w:t>
      </w:r>
    </w:p>
    <w:p w14:paraId="7F1B0E98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по 10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4C0BD720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10-8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7D48D4D7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допущеними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невеликими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7-5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1EB4A24B" w14:textId="00A507B9" w:rsidR="00F10EE4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допущеною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суттєвою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помилкою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4-2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02ECEDB8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Неправильна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56686191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14:paraId="7D73DA94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Ваговий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бал – 6. Максимальна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14:paraId="60956DFA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:</w:t>
      </w:r>
    </w:p>
    <w:p w14:paraId="5FA906BB" w14:textId="3DBBEF61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:</w:t>
      </w:r>
    </w:p>
    <w:p w14:paraId="2CFA62A7" w14:textId="6B1CB318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Занотована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</w:t>
      </w:r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коротка теоретична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схема </w:t>
      </w:r>
      <w:r w:rsidRPr="00032BD4">
        <w:rPr>
          <w:rFonts w:ascii="Times New Roman" w:hAnsi="Times New Roman" w:cs="Times New Roman"/>
          <w:sz w:val="28"/>
          <w:szCs w:val="28"/>
        </w:rPr>
        <w:lastRenderedPageBreak/>
        <w:t xml:space="preserve">установки),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4EFE1FC6" w14:textId="603B582A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Занотована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</w:t>
      </w:r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коротка теоретична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схема установки),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1 бал;</w:t>
      </w:r>
    </w:p>
    <w:p w14:paraId="0615BD02" w14:textId="5FECD148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лабораторної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F4AFB7" w14:textId="08F2EF15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1 бал;</w:t>
      </w:r>
    </w:p>
    <w:p w14:paraId="3E606599" w14:textId="7B1E833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мінімальною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невеликою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0,7 бала;</w:t>
      </w:r>
    </w:p>
    <w:p w14:paraId="45B2DB3C" w14:textId="5C9A34D5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</w:t>
      </w:r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0,5 бала;</w:t>
      </w:r>
    </w:p>
    <w:p w14:paraId="59A8520F" w14:textId="7BCE5C4D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неохайно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0,2 бала;</w:t>
      </w:r>
    </w:p>
    <w:p w14:paraId="2960EE61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- 0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6A5CC6B" w14:textId="0FB344B6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Захист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BFDA0F" w14:textId="38EA4AD5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оформлено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вичерпну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746366AA" w14:textId="486F250F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оформлено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0916A12D" w14:textId="37F8925F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оформлено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неохайно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 переписано у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на</w:t>
      </w:r>
      <w:r w:rsidR="00F9438B"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14:paraId="5625ECE4" w14:textId="4867E00F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та ЄКТС</w:t>
      </w:r>
    </w:p>
    <w:p w14:paraId="540B874D" w14:textId="19F393CE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5FB256" wp14:editId="04039EE6">
            <wp:extent cx="5286375" cy="214686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605" t="59863" r="23677" b="13626"/>
                    <a:stretch/>
                  </pic:blipFill>
                  <pic:spPr bwMode="auto">
                    <a:xfrm>
                      <a:off x="0" y="0"/>
                      <a:ext cx="5302695" cy="215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4839D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залікової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основу взято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51A9EAD6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,</w:t>
      </w:r>
    </w:p>
    <w:p w14:paraId="7EA2F48C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</w:p>
    <w:p w14:paraId="4C8C92C6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47E78FC5" w14:textId="77777777" w:rsidR="000B576C" w:rsidRPr="00032BD4" w:rsidRDefault="000B576C" w:rsidP="0003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:</w:t>
      </w:r>
    </w:p>
    <w:p w14:paraId="307A0CCB" w14:textId="5258F187" w:rsidR="000B576C" w:rsidRPr="00032BD4" w:rsidRDefault="000B576C" w:rsidP="00032B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77D35D35" w14:textId="77777777" w:rsidR="000B576C" w:rsidRPr="00032BD4" w:rsidRDefault="000B576C" w:rsidP="00032B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2ABA1CF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0D6B36E1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524FD73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571C1FF5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10-8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6D02EB85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допущеними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невеликими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7-5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24122E47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допущеною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суттєвою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помилкою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4-2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;</w:t>
      </w:r>
    </w:p>
    <w:p w14:paraId="68860F11" w14:textId="77777777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D4">
        <w:rPr>
          <w:rFonts w:ascii="Times New Roman" w:hAnsi="Times New Roman" w:cs="Times New Roman"/>
          <w:sz w:val="28"/>
          <w:szCs w:val="28"/>
        </w:rPr>
        <w:t xml:space="preserve">Неправильна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– 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>.</w:t>
      </w:r>
    </w:p>
    <w:p w14:paraId="6163F272" w14:textId="6B5FB276" w:rsidR="000B576C" w:rsidRPr="00032BD4" w:rsidRDefault="000B576C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роботу студент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032BD4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032BD4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14:paraId="514E497C" w14:textId="4365F430" w:rsidR="004E610D" w:rsidRPr="00032BD4" w:rsidRDefault="004E610D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5E2DF" w14:textId="1B1509F8" w:rsidR="004E610D" w:rsidRPr="00032BD4" w:rsidRDefault="004E610D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10D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112C2F4F" w14:textId="487FB2F0" w:rsidR="00F9438B" w:rsidRPr="004E610D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література:</w:t>
      </w:r>
    </w:p>
    <w:p w14:paraId="66E57259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Пахолюк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А.П.,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Пахолюк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О.А. Основи матеріалознавство і конструкційні матеріали. – Львів: Світ, 2005 – 172с.</w:t>
      </w:r>
    </w:p>
    <w:p w14:paraId="0B60B932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Афтанділянц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Є. Г.,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Зазимко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Лопатько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К.Г. Матеріалознавство: Підручник. К.: Вища освіта, 2012.- с 548.</w:t>
      </w:r>
    </w:p>
    <w:p w14:paraId="18AD661E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Більченко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О.В. Матеріалознавство: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.; Міністерство науки і освіти України –К.: Кондор, 2009. – 154с.</w:t>
      </w:r>
    </w:p>
    <w:p w14:paraId="4F335428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Бялік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О.М. та інші. Матеріалознавство: підручник / О.М.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Бялік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, В.С. Черненко, В.М. Писаренко, Ю.М. Москаленко. – К.: ИВЦ «Політехніка», 2011.- 375с.</w:t>
      </w:r>
    </w:p>
    <w:p w14:paraId="7F305267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Дяченко С.С.,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Дощечкіна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І.В., Мовлян А.О.,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Плешков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Е.І. за ред. проф. Дяченко С.С. Матеріалознавство: підручник. – Харків, ХНАДУ, 2007. – 440с.</w:t>
      </w:r>
    </w:p>
    <w:p w14:paraId="7BD62B61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Матеріалознавство і технологія конструкційних матеріалів: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. для учнів проф.-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. – К.: Либідь, 2002. -321с.</w:t>
      </w:r>
    </w:p>
    <w:p w14:paraId="624B3314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Матеріалознавство та теорія матеріалів . Конспект лекцій./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Т.М. Курська, Г.О.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Чернобай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С.Б. Єрьоменко.- Х.: УЦЗУ, 2008.-136 с.</w:t>
      </w:r>
    </w:p>
    <w:p w14:paraId="79F3766E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Основи матеріалознавства. Навчальний посібник навчальний посібник Боброва Т.Б.,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Високос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С.М., Глушко Ю.Ю.,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Кузніченко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Пеховка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М.В., Сашко В.О., Терещенко Т.М. 2016р.- 59с.</w:t>
      </w:r>
    </w:p>
    <w:p w14:paraId="0C1356F2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Пахолюк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А.П. Основи матеріалознавства і конструкційні матеріали: посібник – Львів: Світ, 2015. – 172с.</w:t>
      </w:r>
    </w:p>
    <w:p w14:paraId="5CFB347D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Попович В.В. Технологія конструкцій матеріалів і матеріалознавства: підручник. – Львів: Світ, 2011. – 624с.</w:t>
      </w:r>
    </w:p>
    <w:p w14:paraId="2C19908E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B55B3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ЛІТЕРАТРУРА</w:t>
      </w:r>
    </w:p>
    <w:p w14:paraId="72A3A41E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Гумен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А.С. Матеріалознавство: конспект лекцій з дисципліни «Основи матеріалознавства» для студентів хіміко-технологічного факультету спеціальності 25.08.ч.1. – К.: КПІ, 1991. – 212 с.</w:t>
      </w:r>
    </w:p>
    <w:p w14:paraId="0ADC08EA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Іванов М.І., Артеменко О.А.,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Толубенко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В.Г. Методичні вказівки до лабораторних робіт з курсу «Матеріалознавство». Харків: ХІПБ, 2006. – 8с. </w:t>
      </w:r>
    </w:p>
    <w:p w14:paraId="364EAFC8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Матеріалознавство та основи технології переробки природної сировини у непродовольчі товари: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.; Міністерство науки і освіти України –К.: Центр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. Л-ри, 2009. – 120с.</w:t>
      </w:r>
    </w:p>
    <w:p w14:paraId="03BA5D08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Попович В.В. Технологія конструкційних матеріалів і матеріалознавство: підручник для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техніч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. спец. ВНЗ. – Львів: Світ, 2006. -624с.</w:t>
      </w:r>
    </w:p>
    <w:p w14:paraId="1F8FB96D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14:paraId="67C942F1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Матеріалознавство та технологія матеріалів. Конспект лекцій /Уклад. Т.М. Курська, Г.О.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Чернобай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>, С.Б. Єрьоменко. – Х.: УЦЗУ, 2008. – 136с. - URL.:  [Електронний ресурс]. – Режим доступу:  http://univer.nuczu.edu.ua/tmp_metod/924/MZTM_KONSP_LEK.pdf</w:t>
      </w:r>
    </w:p>
    <w:p w14:paraId="2F1A082B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Матеріалознавство і технологія матеріалів. - URL.:  [Електронний ресурс]. – Режим доступу: http://www.nbuv.gov.ua/node/773</w:t>
      </w:r>
    </w:p>
    <w:p w14:paraId="14B833B0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Матеріалознавство та технологія матеріалів. Конспект лекцій. - URL.:  [Електронний ресурс]. – Режим доступу: http://univer.nuczu.edu.ua/tmp_metod/924/MZTM_KONSP_LEK.pdf</w:t>
      </w:r>
    </w:p>
    <w:p w14:paraId="79A3A726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Матеріалознавство і технологія конструкційних матеріалів (М і ТКМ). - URL.:  [Електронний ресурс]. – Режим доступу: http://www.tsatu.edu.ua/tkm/course/materialoznavstvo-i-tehnolohija-konstrukcijnyh-materialiv-m-i-tkm/</w:t>
      </w:r>
    </w:p>
    <w:p w14:paraId="16505032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Шиліна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Pr="00032BD4">
        <w:rPr>
          <w:rFonts w:ascii="Times New Roman" w:hAnsi="Times New Roman" w:cs="Times New Roman"/>
          <w:sz w:val="28"/>
          <w:szCs w:val="28"/>
          <w:lang w:val="uk-UA"/>
        </w:rPr>
        <w:t>Шиповалова</w:t>
      </w:r>
      <w:proofErr w:type="spellEnd"/>
      <w:r w:rsidRPr="00032BD4">
        <w:rPr>
          <w:rFonts w:ascii="Times New Roman" w:hAnsi="Times New Roman" w:cs="Times New Roman"/>
          <w:sz w:val="28"/>
          <w:szCs w:val="28"/>
          <w:lang w:val="uk-UA"/>
        </w:rPr>
        <w:t xml:space="preserve"> О.В. Матеріалознавство. - URL.:  [Електронний ресурс]. – Режим доступу: https://posibnyky.vntu.edu.ua/pdf/000725.pdf</w:t>
      </w:r>
    </w:p>
    <w:p w14:paraId="22215D84" w14:textId="77777777" w:rsidR="00F9438B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Вступ до фаху (Глушкова)Що таке матеріалознавство? - URL.:  [Електронний ресурс]. – Режим доступу: http://dl.khadi.kharkov.ua/mod/page/view.php?id=18428</w:t>
      </w:r>
    </w:p>
    <w:p w14:paraId="39559C9F" w14:textId="750D5223" w:rsidR="004E610D" w:rsidRPr="00032BD4" w:rsidRDefault="00F9438B" w:rsidP="00032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BD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32BD4">
        <w:rPr>
          <w:rFonts w:ascii="Times New Roman" w:hAnsi="Times New Roman" w:cs="Times New Roman"/>
          <w:sz w:val="28"/>
          <w:szCs w:val="28"/>
          <w:lang w:val="uk-UA"/>
        </w:rPr>
        <w:tab/>
        <w:t>Основи матеріалознавства. Навчальний посібник. - URL.:  [Електронний ресурс]. – Режим доступу: https://www.gurt.org.ua/uploads/news/files/2016-8/%D0%9C%D0%B0%D1%82%D0%B5%D1%80%D1%96%D0%B0%D0%BB%D0%BE%D0%B7%D0%BD%D0%B0%D0%B2%D1%81%D1%82%D0%B2%D0%BE-min.pdf</w:t>
      </w:r>
    </w:p>
    <w:sectPr w:rsidR="004E610D" w:rsidRPr="0003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E76"/>
    <w:multiLevelType w:val="hybridMultilevel"/>
    <w:tmpl w:val="1F36D6C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2B86"/>
    <w:multiLevelType w:val="hybridMultilevel"/>
    <w:tmpl w:val="4328AF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6C"/>
    <w:rsid w:val="00032BD4"/>
    <w:rsid w:val="000B576C"/>
    <w:rsid w:val="001732D8"/>
    <w:rsid w:val="004E610D"/>
    <w:rsid w:val="005D4922"/>
    <w:rsid w:val="00B5394C"/>
    <w:rsid w:val="00CF6EC7"/>
    <w:rsid w:val="00F10EE4"/>
    <w:rsid w:val="00F9438B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E6E"/>
  <w15:chartTrackingRefBased/>
  <w15:docId w15:val="{F45A4125-E753-4852-86DE-60CA00C5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6C"/>
    <w:pPr>
      <w:ind w:left="720"/>
      <w:contextualSpacing/>
    </w:pPr>
  </w:style>
  <w:style w:type="table" w:styleId="a4">
    <w:name w:val="Table Grid"/>
    <w:basedOn w:val="a1"/>
    <w:uiPriority w:val="99"/>
    <w:rsid w:val="000B57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0B57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rcid.org/0000-0001-9568-2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Лотоцкая Наталья Георгиевна</dc:creator>
  <cp:keywords/>
  <dc:description/>
  <cp:lastModifiedBy>Лотоцкая Наталья Георгиевна</cp:lastModifiedBy>
  <cp:revision>4</cp:revision>
  <dcterms:created xsi:type="dcterms:W3CDTF">2021-10-06T12:18:00Z</dcterms:created>
  <dcterms:modified xsi:type="dcterms:W3CDTF">2021-10-07T07:05:00Z</dcterms:modified>
</cp:coreProperties>
</file>